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57"/>
        <w:jc w:val="both"/>
        <w:rPr>
          <w:rFonts w:eastAsia="Times New Roman" w:cs="Arial"/>
          <w:szCs w:val="20"/>
          <w:lang w:eastAsia="fr-FR"/>
        </w:rPr>
      </w:pPr>
      <w:r>
        <w:rPr>
          <w:rFonts w:ascii="Marianne" w:eastAsia="Calibri" w:hAnsi="Marianne"/>
          <w:noProof/>
          <w:sz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206375</wp:posOffset>
            </wp:positionV>
            <wp:extent cx="1670400" cy="1432800"/>
            <wp:effectExtent l="0" t="0" r="0" b="0"/>
            <wp:wrapThrough wrapText="bothSides">
              <wp:wrapPolygon edited="0">
                <wp:start x="1478" y="1723"/>
                <wp:lineTo x="1478" y="19532"/>
                <wp:lineTo x="7884" y="19532"/>
                <wp:lineTo x="8377" y="18670"/>
                <wp:lineTo x="7638" y="17521"/>
                <wp:lineTo x="6406" y="16085"/>
                <wp:lineTo x="11334" y="16085"/>
                <wp:lineTo x="19711" y="13213"/>
                <wp:lineTo x="19957" y="9766"/>
                <wp:lineTo x="18972" y="8330"/>
                <wp:lineTo x="16262" y="6319"/>
                <wp:lineTo x="8377" y="1723"/>
                <wp:lineTo x="1478" y="1723"/>
              </wp:wrapPolygon>
            </wp:wrapThrough>
            <wp:docPr id="1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400" cy="14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Standard"/>
        <w:jc w:val="both"/>
        <w:rPr>
          <w:rFonts w:ascii="Arial" w:hAnsi="Arial"/>
          <w:sz w:val="22"/>
          <w:szCs w:val="22"/>
        </w:rPr>
      </w:pPr>
    </w:p>
    <w:p>
      <w:pPr>
        <w:pStyle w:val="Standard"/>
        <w:jc w:val="both"/>
        <w:rPr>
          <w:rFonts w:ascii="Arial" w:hAnsi="Arial"/>
          <w:sz w:val="22"/>
          <w:szCs w:val="22"/>
        </w:rPr>
      </w:pPr>
    </w:p>
    <w:p>
      <w:pPr>
        <w:pStyle w:val="Standard"/>
        <w:jc w:val="both"/>
        <w:rPr>
          <w:rFonts w:ascii="Arial" w:hAnsi="Arial"/>
          <w:sz w:val="22"/>
          <w:szCs w:val="22"/>
        </w:rPr>
      </w:pPr>
    </w:p>
    <w:p>
      <w:pPr>
        <w:pStyle w:val="Standard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</w:p>
    <w:p>
      <w:pPr>
        <w:pStyle w:val="Standard"/>
        <w:jc w:val="both"/>
        <w:rPr>
          <w:rFonts w:ascii="Arial" w:hAnsi="Arial"/>
          <w:sz w:val="22"/>
          <w:szCs w:val="22"/>
        </w:rPr>
      </w:pPr>
    </w:p>
    <w:p>
      <w:pPr>
        <w:pStyle w:val="Standard"/>
        <w:jc w:val="both"/>
        <w:rPr>
          <w:rFonts w:ascii="Arial" w:hAnsi="Arial"/>
          <w:sz w:val="22"/>
          <w:szCs w:val="22"/>
        </w:rPr>
      </w:pPr>
    </w:p>
    <w:p>
      <w:pPr>
        <w:pStyle w:val="Standard"/>
        <w:jc w:val="both"/>
        <w:rPr>
          <w:rFonts w:ascii="Arial" w:hAnsi="Arial"/>
          <w:sz w:val="22"/>
          <w:szCs w:val="22"/>
        </w:rPr>
      </w:pPr>
    </w:p>
    <w:p>
      <w:pPr>
        <w:pStyle w:val="Standard"/>
        <w:jc w:val="both"/>
        <w:rPr>
          <w:rFonts w:ascii="Arial" w:hAnsi="Arial"/>
          <w:sz w:val="22"/>
          <w:szCs w:val="22"/>
        </w:rPr>
      </w:pPr>
    </w:p>
    <w:p>
      <w:pPr>
        <w:pStyle w:val="Standard"/>
        <w:jc w:val="both"/>
        <w:rPr>
          <w:rFonts w:ascii="Arial" w:hAnsi="Arial"/>
          <w:sz w:val="22"/>
          <w:szCs w:val="22"/>
        </w:rPr>
      </w:pPr>
    </w:p>
    <w:p>
      <w:pPr>
        <w:pStyle w:val="Standard"/>
        <w:jc w:val="both"/>
        <w:rPr>
          <w:rFonts w:ascii="Arial" w:hAnsi="Arial"/>
          <w:sz w:val="22"/>
          <w:szCs w:val="22"/>
        </w:rPr>
      </w:pPr>
    </w:p>
    <w:p>
      <w:pPr>
        <w:pStyle w:val="Standard"/>
        <w:jc w:val="both"/>
        <w:rPr>
          <w:rFonts w:ascii="Arial" w:hAnsi="Arial"/>
          <w:sz w:val="22"/>
          <w:szCs w:val="22"/>
        </w:rPr>
      </w:pPr>
    </w:p>
    <w:p>
      <w:pPr>
        <w:pStyle w:val="Standard"/>
        <w:jc w:val="both"/>
        <w:rPr>
          <w:rFonts w:ascii="Arial" w:hAnsi="Arial"/>
          <w:sz w:val="22"/>
          <w:szCs w:val="22"/>
        </w:rPr>
      </w:pPr>
    </w:p>
    <w:p>
      <w:pPr>
        <w:pStyle w:val="Standard"/>
        <w:jc w:val="both"/>
        <w:rPr>
          <w:rFonts w:ascii="Arial" w:hAnsi="Arial"/>
          <w:sz w:val="22"/>
          <w:szCs w:val="22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49"/>
      </w:tblGrid>
      <w:tr>
        <w:trPr>
          <w:trHeight w:val="180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aps/>
              </w:rPr>
              <w:t xml:space="preserve">ACCORD-CADRE </w:t>
            </w:r>
            <w:r>
              <w:rPr>
                <w:rFonts w:ascii="Arial" w:hAnsi="Arial" w:cs="Arial"/>
                <w:b/>
                <w:bCs/>
              </w:rPr>
              <w:t>RELATIF A LA FOURNITURE ET L’ACHEMINEMENT</w:t>
            </w:r>
          </w:p>
          <w:p>
            <w:pPr>
              <w:pStyle w:val="Standard"/>
              <w:jc w:val="center"/>
              <w:rPr>
                <w:rFonts w:ascii="Arial" w:hAnsi="Arial" w:cs="Arial"/>
                <w:b/>
                <w:bCs/>
                <w:caps/>
              </w:rPr>
            </w:pPr>
            <w:r>
              <w:rPr>
                <w:rFonts w:ascii="Arial" w:hAnsi="Arial" w:cs="Arial"/>
                <w:b/>
                <w:bCs/>
              </w:rPr>
              <w:t>D’ÉLECTRICITÉ ET DE GAZ NATUREL POUR LES ANNÉES 2028-2031</w:t>
            </w:r>
          </w:p>
          <w:p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>
      <w:pPr>
        <w:pStyle w:val="Standard"/>
        <w:jc w:val="both"/>
        <w:rPr>
          <w:rFonts w:ascii="Arial" w:hAnsi="Arial"/>
          <w:sz w:val="22"/>
          <w:szCs w:val="22"/>
        </w:rPr>
      </w:pPr>
    </w:p>
    <w:p>
      <w:pPr>
        <w:pStyle w:val="Standard"/>
        <w:jc w:val="both"/>
        <w:rPr>
          <w:rFonts w:ascii="Arial" w:hAnsi="Arial"/>
          <w:sz w:val="22"/>
          <w:szCs w:val="22"/>
        </w:rPr>
      </w:pPr>
    </w:p>
    <w:p>
      <w:pPr>
        <w:pStyle w:val="Standard"/>
        <w:jc w:val="both"/>
        <w:rPr>
          <w:rFonts w:ascii="Arial" w:hAnsi="Arial"/>
          <w:sz w:val="22"/>
          <w:szCs w:val="22"/>
        </w:rPr>
      </w:pPr>
    </w:p>
    <w:p>
      <w:pPr>
        <w:pStyle w:val="Standard"/>
        <w:jc w:val="both"/>
        <w:rPr>
          <w:rFonts w:ascii="Arial" w:hAnsi="Arial"/>
          <w:sz w:val="22"/>
          <w:szCs w:val="22"/>
        </w:rPr>
      </w:pPr>
    </w:p>
    <w:p>
      <w:pPr>
        <w:pStyle w:val="Standard"/>
        <w:jc w:val="both"/>
        <w:rPr>
          <w:rFonts w:ascii="Arial" w:hAnsi="Arial"/>
          <w:sz w:val="22"/>
          <w:szCs w:val="22"/>
        </w:rPr>
      </w:pPr>
    </w:p>
    <w:p>
      <w:pPr>
        <w:pStyle w:val="Standard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-9884</wp:posOffset>
                </wp:positionH>
                <wp:positionV relativeFrom="paragraph">
                  <wp:posOffset>47653</wp:posOffset>
                </wp:positionV>
                <wp:extent cx="6106243" cy="652007"/>
                <wp:effectExtent l="0" t="0" r="2794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6243" cy="65200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7176CF" id="Rectangle 3" o:spid="_x0000_s1026" style="position:absolute;margin-left:-.8pt;margin-top:3.75pt;width:480.8pt;height:51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3DKmgIAAI0FAAAOAAAAZHJzL2Uyb0RvYy54bWysVMFu2zAMvQ/YPwi6r7bTJF2NOkXQosOA&#10;og3aDj2rshQbkEVNUuJkXz9KspOgK3YY5oMsieQj+UTy6nrXKbIV1rWgK1qc5ZQIzaFu9bqiP17u&#10;vnylxHmma6ZAi4ruhaPXi8+frnpTigk0oGphCYJoV/amoo33pswyxxvRMXcGRmgUSrAd83i066y2&#10;rEf0TmWTPJ9nPdjaWODCOby9TUK6iPhSCu4fpXTCE1VRjM3H1cb1LazZ4oqVa8tM0/IhDPYPUXSs&#10;1ej0AHXLPCMb2/4B1bXcggPpzzh0GUjZchFzwGyK/F02zw0zIuaC5DhzoMn9P1j+sF1Z0tYVPadE&#10;sw6f6AlJY3qtBDkP9PTGlaj1bFZ2ODnchlx30nbhj1mQXaR0f6BU7DzheDkv8vlkitgcZfMZPtlF&#10;AM2O1sY6/01AR8Kmoha9RybZ9t75pDqqBGca7lql8J6VSpO+opezySwaOFBtHYRBFgtI3ChLtgyf&#10;3u+Kwe2JFgahNMYSMkw5xZ3fK5Hgn4REajCLSXIQivKIyTgX2hdJ1LBaJFezHL/R2WgRM1YaAQOy&#10;xCAP2APAqJlARuyU/6AfTEWs6YNx/rfAkvHBInoG7Q/GXavBfgSgMKvBc9IfSUrUBJbeoN5j4VhI&#10;HeUMv2vx/e6Z8ytmsYWw2XAs+EdcpAJ8Jxh2lDRgf310H/SxslFKSY8tWVH3c8OsoER911jzl8V0&#10;Gno4Hqaziwke7Knk7VSiN90N4NMXOIAMj9ug79W4lRa6V5wey+AVRUxz9F1R7u14uPFpVOD84WK5&#10;jGrYt4b5e/1seAAPrIb6fNm9MmuGIvZY/g8wti8r39Vy0g2WGpYbD7KNhX7kdeAbez4WzjCfwlA5&#10;PUet4xRd/AYAAP//AwBQSwMEFAAGAAgAAAAhABShiU/bAAAACAEAAA8AAABkcnMvZG93bnJldi54&#10;bWxMj8tOwzAQRfdI/IM1SGxQayeIUEKcCiGxDBItH+DGQxzVr8ZOG/6eYQXL0T26c26zXZxlZ5zS&#10;GLyEYi2Aoe+DHv0g4XP/ttoAS1l5rWzwKOEbE2zb66tG1Tpc/Aeed3lgVOJTrSSYnGPNeeoNOpXW&#10;IaKn7CtMTmU6p4HrSV2o3FleClFxp0ZPH4yK+GqwP+5mJ2GZN6dTNx+dwfvO3pU5vncxSnl7s7w8&#10;A8u45D8YfvVJHVpyOoTZ68SshFVRESnh8QEYxU+VoGkH4gpRAm8b/n9A+wMAAP//AwBQSwECLQAU&#10;AAYACAAAACEAtoM4kv4AAADhAQAAEwAAAAAAAAAAAAAAAAAAAAAAW0NvbnRlbnRfVHlwZXNdLnht&#10;bFBLAQItABQABgAIAAAAIQA4/SH/1gAAAJQBAAALAAAAAAAAAAAAAAAAAC8BAABfcmVscy8ucmVs&#10;c1BLAQItABQABgAIAAAAIQAPL3DKmgIAAI0FAAAOAAAAAAAAAAAAAAAAAC4CAABkcnMvZTJvRG9j&#10;LnhtbFBLAQItABQABgAIAAAAIQAUoYlP2wAAAAgBAAAPAAAAAAAAAAAAAAAAAPQEAABkcnMvZG93&#10;bnJldi54bWxQSwUGAAAAAAQABADzAAAA/AUAAAAA&#10;" filled="f" strokecolor="black [3213]"/>
            </w:pict>
          </mc:Fallback>
        </mc:AlternateContent>
      </w:r>
    </w:p>
    <w:p>
      <w:pPr>
        <w:jc w:val="center"/>
        <w:rPr>
          <w:b/>
          <w:bCs/>
          <w:sz w:val="24"/>
          <w:szCs w:val="24"/>
        </w:rPr>
      </w:pPr>
      <w:r>
        <w:rPr>
          <w:rFonts w:ascii="Arial" w:hAnsi="Arial" w:cs="Arial"/>
          <w:b/>
          <w:bCs/>
          <w:caps/>
          <w:sz w:val="24"/>
          <w:szCs w:val="24"/>
        </w:rPr>
        <w:t>ANNEXE 1 AU REGLEMENT DE CONSULTATION</w:t>
      </w:r>
    </w:p>
    <w:p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« AUTO-LIMITATION » (LOTS ELECTRICITE E1, E2, E3 ET LOT GAZ G1)</w:t>
      </w:r>
    </w:p>
    <w:p>
      <w:pPr>
        <w:pStyle w:val="Standard"/>
        <w:jc w:val="both"/>
        <w:rPr>
          <w:rFonts w:ascii="Arial" w:hAnsi="Arial"/>
          <w:sz w:val="22"/>
          <w:szCs w:val="22"/>
        </w:rPr>
      </w:pPr>
    </w:p>
    <w:p>
      <w:pPr>
        <w:spacing w:before="57"/>
        <w:jc w:val="both"/>
        <w:rPr>
          <w:rFonts w:eastAsia="Times New Roman" w:cs="Arial"/>
          <w:szCs w:val="20"/>
          <w:lang w:eastAsia="fr-FR"/>
        </w:rPr>
      </w:pPr>
    </w:p>
    <w:p>
      <w:pPr>
        <w:spacing w:before="57"/>
        <w:jc w:val="both"/>
        <w:rPr>
          <w:rFonts w:eastAsia="Times New Roman" w:cs="Arial"/>
          <w:szCs w:val="20"/>
          <w:lang w:eastAsia="fr-FR"/>
        </w:rPr>
      </w:pPr>
    </w:p>
    <w:p>
      <w:pPr>
        <w:tabs>
          <w:tab w:val="left" w:pos="5896"/>
        </w:tabs>
        <w:spacing w:before="57"/>
        <w:jc w:val="both"/>
        <w:rPr>
          <w:rFonts w:eastAsia="Times New Roman" w:cs="Arial"/>
          <w:szCs w:val="20"/>
          <w:lang w:eastAsia="fr-FR"/>
        </w:rPr>
      </w:pPr>
      <w:r>
        <w:rPr>
          <w:rFonts w:eastAsia="Times New Roman" w:cs="Arial"/>
          <w:szCs w:val="20"/>
          <w:lang w:eastAsia="fr-FR"/>
        </w:rPr>
        <w:tab/>
      </w:r>
    </w:p>
    <w:p>
      <w:pPr>
        <w:spacing w:before="57"/>
        <w:jc w:val="both"/>
        <w:rPr>
          <w:rFonts w:eastAsia="Times New Roman" w:cs="Arial"/>
          <w:szCs w:val="20"/>
          <w:lang w:eastAsia="fr-FR"/>
        </w:rPr>
      </w:pPr>
    </w:p>
    <w:p>
      <w:pPr>
        <w:spacing w:before="57"/>
        <w:jc w:val="both"/>
        <w:rPr>
          <w:rFonts w:eastAsia="Times New Roman" w:cs="Arial"/>
          <w:szCs w:val="20"/>
          <w:lang w:eastAsia="fr-FR"/>
        </w:rPr>
      </w:pPr>
    </w:p>
    <w:p>
      <w:pPr>
        <w:spacing w:before="57"/>
        <w:jc w:val="both"/>
        <w:rPr>
          <w:rFonts w:eastAsia="Times New Roman" w:cs="Arial"/>
          <w:szCs w:val="20"/>
          <w:lang w:eastAsia="fr-FR"/>
        </w:rPr>
      </w:pPr>
      <w:r>
        <w:rPr>
          <w:rFonts w:eastAsia="Times New Roman" w:cs="Arial"/>
          <w:b/>
          <w:bCs/>
          <w:szCs w:val="20"/>
          <w:lang w:eastAsia="fr-FR"/>
        </w:rPr>
        <w:t>Numéro de consultation : DAE-2025-AC-ELEC-GAZ-2028_2031</w:t>
      </w:r>
    </w:p>
    <w:p>
      <w:pPr>
        <w:spacing w:before="57"/>
        <w:jc w:val="both"/>
        <w:rPr>
          <w:rFonts w:eastAsia="Times New Roman" w:cs="Arial"/>
          <w:szCs w:val="20"/>
          <w:lang w:eastAsia="fr-FR"/>
        </w:rPr>
      </w:pPr>
    </w:p>
    <w:p>
      <w:pPr>
        <w:spacing w:before="57"/>
        <w:jc w:val="both"/>
        <w:rPr>
          <w:rFonts w:eastAsia="Times New Roman" w:cs="Arial"/>
          <w:szCs w:val="20"/>
          <w:lang w:eastAsia="fr-FR"/>
        </w:rPr>
      </w:pPr>
      <w:r>
        <w:rPr>
          <w:rFonts w:eastAsia="Times New Roman" w:cs="Arial"/>
          <w:b/>
          <w:bCs/>
          <w:szCs w:val="20"/>
          <w:lang w:eastAsia="fr-FR"/>
        </w:rPr>
        <w:t>Procédure de passation :</w:t>
      </w:r>
      <w:r>
        <w:rPr>
          <w:rFonts w:eastAsia="Times New Roman" w:cs="Arial"/>
          <w:szCs w:val="20"/>
          <w:lang w:eastAsia="fr-FR"/>
        </w:rPr>
        <w:t xml:space="preserve"> Appel d’offres restreint </w:t>
      </w:r>
    </w:p>
    <w:p>
      <w:pPr>
        <w:jc w:val="both"/>
        <w:rPr>
          <w:b/>
          <w:bCs/>
          <w:sz w:val="26"/>
          <w:szCs w:val="26"/>
        </w:rPr>
      </w:pPr>
    </w:p>
    <w:p>
      <w:pPr>
        <w:jc w:val="both"/>
        <w:rPr>
          <w:b/>
          <w:bCs/>
          <w:sz w:val="26"/>
          <w:szCs w:val="26"/>
        </w:rPr>
      </w:pPr>
    </w:p>
    <w:p>
      <w:pPr>
        <w:jc w:val="both"/>
        <w:rPr>
          <w:b/>
          <w:bCs/>
          <w:sz w:val="26"/>
          <w:szCs w:val="26"/>
        </w:rPr>
      </w:pPr>
    </w:p>
    <w:p>
      <w:pPr>
        <w:jc w:val="both"/>
        <w:rPr>
          <w:b/>
          <w:bCs/>
          <w:sz w:val="26"/>
          <w:szCs w:val="26"/>
        </w:rPr>
      </w:pPr>
    </w:p>
    <w:p>
      <w:pPr>
        <w:pStyle w:val="NormalWeb"/>
        <w:spacing w:before="240" w:after="120"/>
        <w:jc w:val="both"/>
        <w:rPr>
          <w:rFonts w:ascii="Arial" w:hAnsi="Arial" w:cs="Arial"/>
          <w:b/>
          <w:bCs/>
          <w:sz w:val="22"/>
          <w:szCs w:val="22"/>
        </w:rPr>
      </w:pPr>
    </w:p>
    <w:p>
      <w:pPr>
        <w:pStyle w:val="NormalWeb"/>
        <w:spacing w:before="240" w:after="120"/>
        <w:jc w:val="both"/>
        <w:rPr>
          <w:rFonts w:ascii="Arial" w:hAnsi="Arial" w:cs="Arial"/>
          <w:b/>
          <w:bCs/>
          <w:sz w:val="22"/>
          <w:szCs w:val="22"/>
        </w:rPr>
      </w:pPr>
    </w:p>
    <w:p>
      <w:pPr>
        <w:pStyle w:val="NormalWeb"/>
        <w:spacing w:before="240" w:after="120"/>
        <w:jc w:val="both"/>
        <w:rPr>
          <w:rFonts w:ascii="Arial" w:hAnsi="Arial" w:cs="Arial"/>
          <w:b/>
          <w:bCs/>
          <w:sz w:val="22"/>
          <w:szCs w:val="22"/>
        </w:rPr>
      </w:pPr>
    </w:p>
    <w:p>
      <w:pPr>
        <w:pStyle w:val="NormalWeb"/>
        <w:spacing w:before="240" w:after="120"/>
        <w:jc w:val="both"/>
        <w:rPr>
          <w:rFonts w:ascii="Arial" w:hAnsi="Arial" w:cs="Arial"/>
          <w:b/>
          <w:bCs/>
          <w:sz w:val="22"/>
          <w:szCs w:val="22"/>
        </w:rPr>
      </w:pPr>
    </w:p>
    <w:p>
      <w:pPr>
        <w:pStyle w:val="NormalWeb"/>
        <w:spacing w:before="240" w:after="120"/>
        <w:jc w:val="both"/>
        <w:rPr>
          <w:rFonts w:ascii="Arial" w:hAnsi="Arial" w:cs="Arial"/>
          <w:b/>
          <w:bCs/>
          <w:sz w:val="22"/>
          <w:szCs w:val="22"/>
        </w:rPr>
      </w:pPr>
    </w:p>
    <w:p>
      <w:pPr>
        <w:spacing w:after="200" w:line="276" w:lineRule="auto"/>
        <w:rPr>
          <w:rFonts w:ascii="Arial" w:eastAsia="Arial Unicode MS" w:hAnsi="Arial" w:cs="Arial"/>
          <w:b/>
          <w:bCs/>
          <w:kern w:val="3"/>
          <w:lang w:eastAsia="zh-CN"/>
        </w:rPr>
      </w:pPr>
      <w:r>
        <w:rPr>
          <w:rFonts w:ascii="Arial" w:hAnsi="Arial" w:cs="Arial"/>
          <w:b/>
          <w:bCs/>
        </w:rPr>
        <w:br w:type="page"/>
      </w:r>
    </w:p>
    <w:p>
      <w:pPr>
        <w:pStyle w:val="NormalWeb"/>
        <w:spacing w:before="240" w:after="120"/>
        <w:jc w:val="both"/>
        <w:rPr>
          <w:rFonts w:ascii="Arial" w:hAnsi="Arial" w:cs="Arial"/>
          <w:b/>
          <w:bCs/>
          <w:sz w:val="22"/>
          <w:szCs w:val="22"/>
        </w:rPr>
        <w:sectPr>
          <w:footerReference w:type="default" r:id="rId10"/>
          <w:type w:val="continuous"/>
          <w:pgSz w:w="11907" w:h="16839" w:code="9"/>
          <w:pgMar w:top="964" w:right="1418" w:bottom="709" w:left="1418" w:header="709" w:footer="425" w:gutter="0"/>
          <w:cols w:space="708"/>
          <w:docGrid w:linePitch="360"/>
        </w:sectPr>
      </w:pPr>
    </w:p>
    <w:p>
      <w:pPr>
        <w:pStyle w:val="NormalWeb"/>
        <w:spacing w:before="0" w:after="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lastRenderedPageBreak/>
        <w:t>Identification du candidat</w:t>
      </w:r>
      <w:r>
        <w:rPr>
          <w:rFonts w:ascii="Arial" w:hAnsi="Arial" w:cs="Arial"/>
          <w:b/>
          <w:bCs/>
          <w:sz w:val="21"/>
          <w:szCs w:val="21"/>
        </w:rPr>
        <w:t> :</w:t>
      </w:r>
    </w:p>
    <w:p>
      <w:pPr>
        <w:pStyle w:val="NormalWeb"/>
        <w:spacing w:before="0" w:after="0"/>
        <w:jc w:val="both"/>
        <w:rPr>
          <w:rFonts w:ascii="Arial" w:hAnsi="Arial" w:cs="Arial"/>
          <w:b/>
          <w:bCs/>
          <w:sz w:val="21"/>
          <w:szCs w:val="21"/>
        </w:rPr>
      </w:pPr>
    </w:p>
    <w:p>
      <w:pPr>
        <w:pStyle w:val="NormalWeb"/>
        <w:spacing w:before="0" w:after="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Société :</w:t>
      </w:r>
    </w:p>
    <w:p>
      <w:pPr>
        <w:pStyle w:val="NormalWeb"/>
        <w:spacing w:before="0" w:after="0"/>
        <w:jc w:val="both"/>
        <w:rPr>
          <w:rFonts w:ascii="Arial" w:hAnsi="Arial" w:cs="Arial"/>
          <w:b/>
          <w:bCs/>
          <w:sz w:val="21"/>
          <w:szCs w:val="21"/>
        </w:rPr>
      </w:pPr>
    </w:p>
    <w:p>
      <w:pPr>
        <w:pStyle w:val="NormalWeb"/>
        <w:spacing w:before="0" w:after="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SIRET : </w:t>
      </w:r>
    </w:p>
    <w:p>
      <w:pPr>
        <w:pStyle w:val="NormalWeb"/>
        <w:spacing w:before="0" w:after="0"/>
        <w:jc w:val="both"/>
        <w:rPr>
          <w:rFonts w:ascii="Arial" w:hAnsi="Arial" w:cs="Arial"/>
          <w:b/>
          <w:bCs/>
          <w:sz w:val="21"/>
          <w:szCs w:val="21"/>
        </w:rPr>
      </w:pPr>
    </w:p>
    <w:p>
      <w:pPr>
        <w:pStyle w:val="NormalWeb"/>
        <w:spacing w:before="0" w:after="120"/>
        <w:jc w:val="both"/>
        <w:rPr>
          <w:rFonts w:ascii="Arial" w:hAnsi="Arial" w:cs="Arial"/>
          <w:b/>
          <w:bCs/>
          <w:sz w:val="21"/>
          <w:szCs w:val="21"/>
        </w:rPr>
      </w:pPr>
      <w:proofErr w:type="spellStart"/>
      <w:r>
        <w:rPr>
          <w:rFonts w:ascii="Arial" w:hAnsi="Arial" w:cs="Arial"/>
          <w:b/>
          <w:bCs/>
          <w:sz w:val="21"/>
          <w:szCs w:val="21"/>
          <w:u w:val="single"/>
        </w:rPr>
        <w:t>Auto-déclaration</w:t>
      </w:r>
      <w:proofErr w:type="spellEnd"/>
      <w:r>
        <w:rPr>
          <w:rFonts w:ascii="Arial" w:hAnsi="Arial" w:cs="Arial"/>
          <w:b/>
          <w:bCs/>
          <w:sz w:val="21"/>
          <w:szCs w:val="21"/>
          <w:u w:val="single"/>
        </w:rPr>
        <w:t xml:space="preserve"> du candidat pour chacun des lots « Electricité » auquel il souhaite candidater (ne concerne que les lots « Electricité » E1, E2 et E3)</w:t>
      </w:r>
      <w:r>
        <w:rPr>
          <w:rFonts w:ascii="Arial" w:hAnsi="Arial" w:cs="Arial"/>
          <w:b/>
          <w:bCs/>
          <w:sz w:val="21"/>
          <w:szCs w:val="21"/>
        </w:rPr>
        <w:t> :</w:t>
      </w:r>
    </w:p>
    <w:p>
      <w:pPr>
        <w:pStyle w:val="NormalWeb"/>
        <w:spacing w:before="24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Tel que prévu à l’article 6.8 du Règlement de Consultation, l’acheteur examinera les capacités économiques et financières des candidats sur la base des informations renseignées dans la présente annexe.</w:t>
      </w:r>
    </w:p>
    <w:p>
      <w:pPr>
        <w:jc w:val="both"/>
      </w:pPr>
    </w:p>
    <w:tbl>
      <w:tblPr>
        <w:tblStyle w:val="Grilledutableau"/>
        <w:tblW w:w="15304" w:type="dxa"/>
        <w:tblLook w:val="04A0" w:firstRow="1" w:lastRow="0" w:firstColumn="1" w:lastColumn="0" w:noHBand="0" w:noVBand="1"/>
      </w:tblPr>
      <w:tblGrid>
        <w:gridCol w:w="2122"/>
        <w:gridCol w:w="2835"/>
        <w:gridCol w:w="1559"/>
        <w:gridCol w:w="2977"/>
        <w:gridCol w:w="5811"/>
      </w:tblGrid>
      <w:tr>
        <w:trPr>
          <w:trHeight w:val="1203"/>
        </w:trPr>
        <w:tc>
          <w:tcPr>
            <w:tcW w:w="2122" w:type="dxa"/>
            <w:shd w:val="clear" w:color="auto" w:fill="C2D69B" w:themeFill="accent3" w:themeFillTint="99"/>
            <w:vAlign w:val="center"/>
          </w:tcPr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Lots Electricité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Volume (GWh) et montant estimatifs annuels du lot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(€ HT)</w:t>
            </w:r>
          </w:p>
        </w:tc>
        <w:tc>
          <w:tcPr>
            <w:tcW w:w="1559" w:type="dxa"/>
            <w:shd w:val="clear" w:color="auto" w:fill="C2D69B" w:themeFill="accent3" w:themeFillTint="99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Nombre estimé de marchés subséquents</w:t>
            </w:r>
          </w:p>
        </w:tc>
        <w:tc>
          <w:tcPr>
            <w:tcW w:w="2977" w:type="dxa"/>
            <w:shd w:val="clear" w:color="auto" w:fill="C2D69B" w:themeFill="accent3" w:themeFillTint="99"/>
            <w:vAlign w:val="center"/>
          </w:tcPr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Volume (GWh) et montant estimés d’un marché subséquent (€ HT)</w:t>
            </w:r>
          </w:p>
        </w:tc>
        <w:tc>
          <w:tcPr>
            <w:tcW w:w="5811" w:type="dxa"/>
            <w:shd w:val="clear" w:color="auto" w:fill="C2D69B" w:themeFill="accent3" w:themeFillTint="99"/>
            <w:vAlign w:val="center"/>
          </w:tcPr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Déclaration du candidat</w:t>
            </w:r>
          </w:p>
          <w:p>
            <w:pPr>
              <w:spacing w:before="6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(Cochez la case correspondant au nombre maximum de marchés auxquels vous vous engagez à soumissionner pour chacun des lots sur lequel vous candidatez*)</w:t>
            </w:r>
          </w:p>
        </w:tc>
      </w:tr>
      <w:tr>
        <w:trPr>
          <w:trHeight w:val="1389"/>
        </w:trPr>
        <w:tc>
          <w:tcPr>
            <w:tcW w:w="2122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E1 : « Gros sites électricité »</w:t>
            </w:r>
          </w:p>
        </w:tc>
        <w:tc>
          <w:tcPr>
            <w:tcW w:w="2835" w:type="dxa"/>
            <w:vAlign w:val="center"/>
          </w:tcPr>
          <w:p>
            <w:pPr>
              <w:pStyle w:val="Paragraphedeliste"/>
              <w:numPr>
                <w:ilvl w:val="0"/>
                <w:numId w:val="22"/>
              </w:numPr>
              <w:ind w:left="318" w:hanging="261"/>
              <w:jc w:val="both"/>
            </w:pPr>
            <w:r>
              <w:t xml:space="preserve">Volume estimatif annuel du lot : </w:t>
            </w:r>
            <w:r>
              <w:rPr>
                <w:b/>
                <w:bCs/>
              </w:rPr>
              <w:t xml:space="preserve">3 000 </w:t>
            </w:r>
            <w:proofErr w:type="gramStart"/>
            <w:r>
              <w:rPr>
                <w:b/>
                <w:bCs/>
              </w:rPr>
              <w:t>GWh</w:t>
            </w:r>
            <w:proofErr w:type="gramEnd"/>
          </w:p>
          <w:p>
            <w:pPr>
              <w:pStyle w:val="Paragraphedeliste"/>
              <w:spacing w:before="60"/>
              <w:ind w:left="318"/>
              <w:contextualSpacing w:val="0"/>
              <w:jc w:val="both"/>
              <w:rPr>
                <w:b/>
                <w:bCs/>
              </w:rPr>
            </w:pPr>
            <w:r>
              <w:t xml:space="preserve">Montant annuel estimé du lot : </w:t>
            </w:r>
            <w:r>
              <w:rPr>
                <w:b/>
                <w:bCs/>
              </w:rPr>
              <w:t>462 M€ HT</w:t>
            </w:r>
            <w:r>
              <w:t xml:space="preserve"> 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977" w:type="dxa"/>
            <w:vAlign w:val="center"/>
          </w:tcPr>
          <w:p>
            <w:pPr>
              <w:pStyle w:val="Paragraphedeliste"/>
              <w:numPr>
                <w:ilvl w:val="0"/>
                <w:numId w:val="21"/>
              </w:numPr>
              <w:ind w:left="320" w:hanging="283"/>
              <w:jc w:val="both"/>
            </w:pPr>
            <w:r>
              <w:t xml:space="preserve">Volume annuel estimé / marché : </w:t>
            </w:r>
            <w:r>
              <w:rPr>
                <w:b/>
                <w:bCs/>
              </w:rPr>
              <w:t xml:space="preserve">1 000 </w:t>
            </w:r>
            <w:proofErr w:type="gramStart"/>
            <w:r>
              <w:rPr>
                <w:b/>
                <w:bCs/>
              </w:rPr>
              <w:t>GWh</w:t>
            </w:r>
            <w:proofErr w:type="gramEnd"/>
          </w:p>
          <w:p>
            <w:pPr>
              <w:pStyle w:val="Paragraphedeliste"/>
              <w:numPr>
                <w:ilvl w:val="0"/>
                <w:numId w:val="21"/>
              </w:numPr>
              <w:spacing w:before="60"/>
              <w:ind w:left="324" w:hanging="284"/>
              <w:contextualSpacing w:val="0"/>
              <w:jc w:val="both"/>
            </w:pPr>
            <w:r>
              <w:t xml:space="preserve">Montant annuel estimé d’un marché : </w:t>
            </w:r>
            <w:r>
              <w:rPr>
                <w:b/>
                <w:bCs/>
              </w:rPr>
              <w:t>154 M€ HT</w:t>
            </w:r>
          </w:p>
        </w:tc>
        <w:tc>
          <w:tcPr>
            <w:tcW w:w="5811" w:type="dxa"/>
            <w:vAlign w:val="center"/>
          </w:tcPr>
          <w:p>
            <w:pPr>
              <w:spacing w:before="20"/>
              <w:jc w:val="both"/>
            </w:pPr>
            <w:sdt>
              <w:sdtPr>
                <w:id w:val="1340039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Limitation à un seul marché subséquent</w:t>
            </w:r>
          </w:p>
          <w:p>
            <w:pPr>
              <w:spacing w:before="20"/>
              <w:jc w:val="both"/>
            </w:pPr>
            <w:sdt>
              <w:sdtPr>
                <w:id w:val="-770778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Limitation à deux marchés subséquents</w:t>
            </w:r>
          </w:p>
          <w:p>
            <w:pPr>
              <w:jc w:val="both"/>
            </w:pPr>
            <w:sdt>
              <w:sdtPr>
                <w:id w:val="920454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Sans limitation (réponse aux 3 marchés subséquents)</w:t>
            </w:r>
          </w:p>
        </w:tc>
      </w:tr>
      <w:tr>
        <w:trPr>
          <w:trHeight w:val="1268"/>
        </w:trPr>
        <w:tc>
          <w:tcPr>
            <w:tcW w:w="2122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E2** : « Moyens sites Electricité »</w:t>
            </w:r>
          </w:p>
        </w:tc>
        <w:tc>
          <w:tcPr>
            <w:tcW w:w="2835" w:type="dxa"/>
            <w:vAlign w:val="center"/>
          </w:tcPr>
          <w:p>
            <w:pPr>
              <w:pStyle w:val="Paragraphedeliste"/>
              <w:numPr>
                <w:ilvl w:val="0"/>
                <w:numId w:val="22"/>
              </w:numPr>
              <w:ind w:left="318" w:hanging="261"/>
              <w:jc w:val="both"/>
            </w:pPr>
            <w:r>
              <w:t xml:space="preserve">Volume estimatif annuel du lot : </w:t>
            </w:r>
            <w:r>
              <w:rPr>
                <w:b/>
                <w:bCs/>
              </w:rPr>
              <w:t xml:space="preserve">700 </w:t>
            </w:r>
            <w:proofErr w:type="gramStart"/>
            <w:r>
              <w:rPr>
                <w:b/>
                <w:bCs/>
              </w:rPr>
              <w:t>GWh</w:t>
            </w:r>
            <w:proofErr w:type="gramEnd"/>
          </w:p>
          <w:p>
            <w:pPr>
              <w:pStyle w:val="Paragraphedeliste"/>
              <w:numPr>
                <w:ilvl w:val="0"/>
                <w:numId w:val="22"/>
              </w:numPr>
              <w:spacing w:before="60"/>
              <w:ind w:left="318" w:hanging="261"/>
              <w:contextualSpacing w:val="0"/>
              <w:jc w:val="both"/>
              <w:rPr>
                <w:b/>
                <w:bCs/>
              </w:rPr>
            </w:pPr>
            <w:r>
              <w:t>Montant annuel estimé du lot :</w:t>
            </w:r>
            <w:r>
              <w:rPr>
                <w:b/>
                <w:bCs/>
              </w:rPr>
              <w:t xml:space="preserve"> 140,5 M€ HT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977" w:type="dxa"/>
            <w:vAlign w:val="center"/>
          </w:tcPr>
          <w:p>
            <w:pPr>
              <w:pStyle w:val="Paragraphedeliste"/>
              <w:numPr>
                <w:ilvl w:val="0"/>
                <w:numId w:val="21"/>
              </w:numPr>
              <w:ind w:left="320" w:hanging="283"/>
              <w:jc w:val="both"/>
            </w:pPr>
            <w:r>
              <w:t xml:space="preserve">Volume annuel estimé / marché : </w:t>
            </w:r>
            <w:r>
              <w:rPr>
                <w:b/>
                <w:bCs/>
              </w:rPr>
              <w:t xml:space="preserve">175 </w:t>
            </w:r>
            <w:proofErr w:type="gramStart"/>
            <w:r>
              <w:rPr>
                <w:b/>
                <w:bCs/>
              </w:rPr>
              <w:t>GWh</w:t>
            </w:r>
            <w:proofErr w:type="gramEnd"/>
          </w:p>
          <w:p>
            <w:pPr>
              <w:pStyle w:val="Paragraphedeliste"/>
              <w:numPr>
                <w:ilvl w:val="0"/>
                <w:numId w:val="21"/>
              </w:numPr>
              <w:ind w:left="320" w:hanging="283"/>
              <w:jc w:val="both"/>
            </w:pPr>
            <w:r>
              <w:t xml:space="preserve">Montant annuel estimé d’un marché : </w:t>
            </w:r>
            <w:r>
              <w:rPr>
                <w:b/>
                <w:bCs/>
              </w:rPr>
              <w:t>35,1 M€ HT</w:t>
            </w:r>
          </w:p>
        </w:tc>
        <w:tc>
          <w:tcPr>
            <w:tcW w:w="5811" w:type="dxa"/>
            <w:vAlign w:val="center"/>
          </w:tcPr>
          <w:p>
            <w:pPr>
              <w:jc w:val="both"/>
            </w:pPr>
            <w:sdt>
              <w:sdtPr>
                <w:id w:val="1218311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Limitation à un seul marché subséquent</w:t>
            </w:r>
          </w:p>
          <w:p>
            <w:pPr>
              <w:spacing w:before="20"/>
              <w:jc w:val="both"/>
            </w:pPr>
            <w:sdt>
              <w:sdtPr>
                <w:id w:val="744148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Limitation à deux marchés subséquents</w:t>
            </w:r>
          </w:p>
          <w:p>
            <w:pPr>
              <w:spacing w:before="20"/>
              <w:jc w:val="both"/>
            </w:pPr>
            <w:sdt>
              <w:sdtPr>
                <w:id w:val="-1884554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Limitation à trois marchés subséquents</w:t>
            </w:r>
          </w:p>
        </w:tc>
      </w:tr>
      <w:tr>
        <w:trPr>
          <w:trHeight w:val="1451"/>
        </w:trPr>
        <w:tc>
          <w:tcPr>
            <w:tcW w:w="2122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E3 : « Petits Electricité »</w:t>
            </w:r>
          </w:p>
        </w:tc>
        <w:tc>
          <w:tcPr>
            <w:tcW w:w="2835" w:type="dxa"/>
            <w:vAlign w:val="center"/>
          </w:tcPr>
          <w:p>
            <w:pPr>
              <w:pStyle w:val="Paragraphedeliste"/>
              <w:numPr>
                <w:ilvl w:val="0"/>
                <w:numId w:val="22"/>
              </w:numPr>
              <w:ind w:left="318" w:hanging="261"/>
              <w:jc w:val="both"/>
            </w:pPr>
            <w:r>
              <w:t xml:space="preserve">Volume estimatif annuel du lot : </w:t>
            </w:r>
            <w:r>
              <w:rPr>
                <w:b/>
                <w:bCs/>
              </w:rPr>
              <w:t xml:space="preserve">250 </w:t>
            </w:r>
            <w:proofErr w:type="gramStart"/>
            <w:r>
              <w:rPr>
                <w:b/>
                <w:bCs/>
              </w:rPr>
              <w:t>GWh</w:t>
            </w:r>
            <w:proofErr w:type="gramEnd"/>
          </w:p>
          <w:p>
            <w:pPr>
              <w:pStyle w:val="Paragraphedeliste"/>
              <w:numPr>
                <w:ilvl w:val="0"/>
                <w:numId w:val="22"/>
              </w:numPr>
              <w:spacing w:before="60"/>
              <w:ind w:left="318" w:hanging="261"/>
              <w:contextualSpacing w:val="0"/>
              <w:jc w:val="both"/>
              <w:rPr>
                <w:b/>
                <w:bCs/>
              </w:rPr>
            </w:pPr>
            <w:r>
              <w:t>Montant annuel estimé du lot :</w:t>
            </w:r>
            <w:r>
              <w:rPr>
                <w:b/>
                <w:bCs/>
              </w:rPr>
              <w:t xml:space="preserve"> 53 M€ HT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977" w:type="dxa"/>
            <w:vAlign w:val="center"/>
          </w:tcPr>
          <w:p>
            <w:pPr>
              <w:pStyle w:val="Paragraphedeliste"/>
              <w:numPr>
                <w:ilvl w:val="0"/>
                <w:numId w:val="21"/>
              </w:numPr>
              <w:ind w:left="320" w:hanging="283"/>
              <w:jc w:val="both"/>
            </w:pPr>
            <w:r>
              <w:t>Volume annuel estimé / marché :</w:t>
            </w:r>
          </w:p>
          <w:p>
            <w:pPr>
              <w:pStyle w:val="Paragraphedeliste"/>
              <w:numPr>
                <w:ilvl w:val="1"/>
                <w:numId w:val="21"/>
              </w:numPr>
              <w:ind w:left="742"/>
              <w:jc w:val="both"/>
            </w:pPr>
            <w:r>
              <w:rPr>
                <w:b/>
                <w:bCs/>
              </w:rPr>
              <w:t xml:space="preserve">MS1 : 60 </w:t>
            </w:r>
            <w:proofErr w:type="gramStart"/>
            <w:r>
              <w:rPr>
                <w:b/>
                <w:bCs/>
              </w:rPr>
              <w:t>GWh</w:t>
            </w:r>
            <w:proofErr w:type="gramEnd"/>
          </w:p>
          <w:p>
            <w:pPr>
              <w:pStyle w:val="Paragraphedeliste"/>
              <w:numPr>
                <w:ilvl w:val="1"/>
                <w:numId w:val="21"/>
              </w:numPr>
              <w:ind w:left="742"/>
              <w:jc w:val="both"/>
            </w:pPr>
            <w:r>
              <w:rPr>
                <w:b/>
                <w:bCs/>
              </w:rPr>
              <w:t xml:space="preserve">MS2 : 130 </w:t>
            </w:r>
            <w:proofErr w:type="gramStart"/>
            <w:r>
              <w:rPr>
                <w:b/>
                <w:bCs/>
              </w:rPr>
              <w:t>GWh</w:t>
            </w:r>
            <w:proofErr w:type="gramEnd"/>
          </w:p>
          <w:p>
            <w:pPr>
              <w:pStyle w:val="Paragraphedeliste"/>
              <w:numPr>
                <w:ilvl w:val="1"/>
                <w:numId w:val="21"/>
              </w:numPr>
              <w:ind w:left="7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MS3 : 60 </w:t>
            </w:r>
            <w:proofErr w:type="gramStart"/>
            <w:r>
              <w:rPr>
                <w:b/>
                <w:bCs/>
              </w:rPr>
              <w:t>GWh</w:t>
            </w:r>
            <w:proofErr w:type="gramEnd"/>
          </w:p>
          <w:p>
            <w:pPr>
              <w:pStyle w:val="Paragraphedeliste"/>
              <w:numPr>
                <w:ilvl w:val="0"/>
                <w:numId w:val="21"/>
              </w:numPr>
              <w:ind w:left="320" w:hanging="283"/>
              <w:jc w:val="both"/>
            </w:pPr>
            <w:r>
              <w:t xml:space="preserve">Montant annuel estimé d’un marché : </w:t>
            </w:r>
          </w:p>
          <w:p>
            <w:pPr>
              <w:pStyle w:val="Paragraphedeliste"/>
              <w:numPr>
                <w:ilvl w:val="1"/>
                <w:numId w:val="21"/>
              </w:numPr>
              <w:ind w:left="742"/>
              <w:jc w:val="both"/>
            </w:pPr>
            <w:r>
              <w:rPr>
                <w:b/>
                <w:bCs/>
              </w:rPr>
              <w:t>MS1 : 12,7 M€ HT</w:t>
            </w:r>
          </w:p>
          <w:p>
            <w:pPr>
              <w:pStyle w:val="Paragraphedeliste"/>
              <w:numPr>
                <w:ilvl w:val="1"/>
                <w:numId w:val="21"/>
              </w:numPr>
              <w:ind w:left="742"/>
              <w:jc w:val="both"/>
            </w:pPr>
            <w:r>
              <w:rPr>
                <w:b/>
                <w:bCs/>
              </w:rPr>
              <w:t>MS2 : 27,6 M€ HT</w:t>
            </w:r>
          </w:p>
          <w:p>
            <w:pPr>
              <w:pStyle w:val="Paragraphedeliste"/>
              <w:numPr>
                <w:ilvl w:val="1"/>
                <w:numId w:val="21"/>
              </w:numPr>
              <w:ind w:left="742"/>
              <w:jc w:val="both"/>
            </w:pPr>
            <w:r>
              <w:rPr>
                <w:b/>
                <w:bCs/>
              </w:rPr>
              <w:t>MS3 : 12,7 M€ HT</w:t>
            </w:r>
          </w:p>
        </w:tc>
        <w:tc>
          <w:tcPr>
            <w:tcW w:w="5811" w:type="dxa"/>
            <w:vAlign w:val="center"/>
          </w:tcPr>
          <w:p>
            <w:pPr>
              <w:spacing w:before="20"/>
              <w:jc w:val="both"/>
            </w:pPr>
            <w:sdt>
              <w:sdtPr>
                <w:id w:val="1665819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Limitation à un seul marché subséquent de 60 </w:t>
            </w:r>
            <w:proofErr w:type="gramStart"/>
            <w:r>
              <w:t>GWh</w:t>
            </w:r>
            <w:proofErr w:type="gramEnd"/>
            <w:r>
              <w:t xml:space="preserve"> (MS1 ou MS3)</w:t>
            </w:r>
          </w:p>
          <w:p>
            <w:pPr>
              <w:spacing w:before="20"/>
              <w:jc w:val="both"/>
            </w:pPr>
            <w:sdt>
              <w:sdtPr>
                <w:id w:val="-28650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Limitation à deux marchés subséquents de 120 </w:t>
            </w:r>
            <w:proofErr w:type="gramStart"/>
            <w:r>
              <w:t>GWh</w:t>
            </w:r>
            <w:proofErr w:type="gramEnd"/>
            <w:r>
              <w:t xml:space="preserve"> au total (MS1 + MS3) </w:t>
            </w:r>
          </w:p>
          <w:p>
            <w:pPr>
              <w:spacing w:before="20"/>
              <w:jc w:val="both"/>
            </w:pPr>
            <w:sdt>
              <w:sdtPr>
                <w:id w:val="666520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t xml:space="preserve"> Limitation à un seul marché subséquent de 130 </w:t>
            </w:r>
            <w:proofErr w:type="gramStart"/>
            <w:r>
              <w:t>GWh</w:t>
            </w:r>
            <w:proofErr w:type="gramEnd"/>
            <w:r>
              <w:t xml:space="preserve"> (MS2)</w:t>
            </w:r>
          </w:p>
          <w:p>
            <w:pPr>
              <w:spacing w:before="20"/>
              <w:jc w:val="both"/>
            </w:pPr>
            <w:sdt>
              <w:sdtPr>
                <w:id w:val="-1982908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t xml:space="preserve"> Limitation à deux marchés subséquents de 190 GWh au total (MS2 + MS1 ou MS</w:t>
            </w:r>
            <w:proofErr w:type="gramStart"/>
            <w:r>
              <w:t>3 )</w:t>
            </w:r>
            <w:proofErr w:type="gramEnd"/>
            <w:r>
              <w:t> :</w:t>
            </w:r>
          </w:p>
          <w:p>
            <w:pPr>
              <w:jc w:val="both"/>
            </w:pPr>
            <w:sdt>
              <w:sdtPr>
                <w:id w:val="190274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Sans limitation (réponse aux 3 marchés subséquents)</w:t>
            </w:r>
          </w:p>
        </w:tc>
      </w:tr>
    </w:tbl>
    <w:p>
      <w:pPr>
        <w:pStyle w:val="Commentaire"/>
        <w:spacing w:before="180"/>
      </w:pPr>
      <w:r>
        <w:t>* Conformément à l’article 3.3 du CCP, les candidats n’ont pas l’obligation de déposer une offre.</w:t>
      </w:r>
    </w:p>
    <w:p>
      <w:pPr>
        <w:spacing w:before="120"/>
        <w:rPr>
          <w:sz w:val="20"/>
          <w:szCs w:val="20"/>
        </w:rPr>
      </w:pPr>
      <w:r>
        <w:rPr>
          <w:sz w:val="20"/>
          <w:szCs w:val="20"/>
        </w:rPr>
        <w:t>** Pour le lot E2, le nombre maximum de marchés subséquents attribuables à un même opérateur économique est limité à 3.</w:t>
      </w:r>
    </w:p>
    <w:p>
      <w:pPr>
        <w:pStyle w:val="NormalWeb"/>
        <w:spacing w:before="0" w:after="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lastRenderedPageBreak/>
        <w:t>Identification du candidat</w:t>
      </w:r>
      <w:r>
        <w:rPr>
          <w:rFonts w:ascii="Arial" w:hAnsi="Arial" w:cs="Arial"/>
          <w:b/>
          <w:bCs/>
          <w:sz w:val="21"/>
          <w:szCs w:val="21"/>
        </w:rPr>
        <w:t> :</w:t>
      </w:r>
    </w:p>
    <w:p>
      <w:pPr>
        <w:pStyle w:val="NormalWeb"/>
        <w:spacing w:before="0" w:after="0"/>
        <w:jc w:val="both"/>
        <w:rPr>
          <w:rFonts w:ascii="Arial" w:hAnsi="Arial" w:cs="Arial"/>
          <w:b/>
          <w:bCs/>
          <w:sz w:val="21"/>
          <w:szCs w:val="21"/>
        </w:rPr>
      </w:pPr>
    </w:p>
    <w:p>
      <w:pPr>
        <w:pStyle w:val="NormalWeb"/>
        <w:spacing w:before="0" w:after="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Société :</w:t>
      </w:r>
    </w:p>
    <w:p>
      <w:pPr>
        <w:pStyle w:val="NormalWeb"/>
        <w:spacing w:before="0" w:after="0"/>
        <w:jc w:val="both"/>
        <w:rPr>
          <w:rFonts w:ascii="Arial" w:hAnsi="Arial" w:cs="Arial"/>
          <w:b/>
          <w:bCs/>
          <w:sz w:val="21"/>
          <w:szCs w:val="21"/>
        </w:rPr>
      </w:pPr>
    </w:p>
    <w:p>
      <w:pPr>
        <w:pStyle w:val="NormalWeb"/>
        <w:spacing w:before="0" w:after="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SIRET : </w:t>
      </w:r>
    </w:p>
    <w:p>
      <w:pPr>
        <w:pStyle w:val="NormalWeb"/>
        <w:spacing w:before="0" w:after="0"/>
        <w:jc w:val="both"/>
        <w:rPr>
          <w:rFonts w:ascii="Arial" w:hAnsi="Arial" w:cs="Arial"/>
          <w:b/>
          <w:bCs/>
          <w:sz w:val="21"/>
          <w:szCs w:val="21"/>
        </w:rPr>
      </w:pPr>
    </w:p>
    <w:p>
      <w:pPr>
        <w:pStyle w:val="NormalWeb"/>
        <w:spacing w:before="0" w:after="120"/>
        <w:jc w:val="both"/>
        <w:rPr>
          <w:rFonts w:ascii="Arial" w:hAnsi="Arial" w:cs="Arial"/>
          <w:b/>
          <w:bCs/>
          <w:sz w:val="21"/>
          <w:szCs w:val="21"/>
        </w:rPr>
      </w:pPr>
      <w:proofErr w:type="spellStart"/>
      <w:r>
        <w:rPr>
          <w:rFonts w:ascii="Arial" w:hAnsi="Arial" w:cs="Arial"/>
          <w:b/>
          <w:bCs/>
          <w:sz w:val="21"/>
          <w:szCs w:val="21"/>
          <w:u w:val="single"/>
        </w:rPr>
        <w:t>Auto-déclaration</w:t>
      </w:r>
      <w:proofErr w:type="spellEnd"/>
      <w:r>
        <w:rPr>
          <w:rFonts w:ascii="Arial" w:hAnsi="Arial" w:cs="Arial"/>
          <w:b/>
          <w:bCs/>
          <w:sz w:val="21"/>
          <w:szCs w:val="21"/>
          <w:u w:val="single"/>
        </w:rPr>
        <w:t xml:space="preserve"> du candidat pour le lot « Gaz » G1 auquel il souhaite candidater</w:t>
      </w:r>
      <w:r>
        <w:rPr>
          <w:rFonts w:ascii="Arial" w:hAnsi="Arial" w:cs="Arial"/>
          <w:b/>
          <w:bCs/>
          <w:sz w:val="21"/>
          <w:szCs w:val="21"/>
        </w:rPr>
        <w:t> :</w:t>
      </w:r>
    </w:p>
    <w:p>
      <w:pPr>
        <w:pStyle w:val="NormalWeb"/>
        <w:spacing w:before="240"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Tel que prévu à l’article 6.8 du Règlement de Consultation, l’acheteur examinera les capacités économiques et financières des candidats sur la base des informations renseignées dans la présente annexe.</w:t>
      </w:r>
    </w:p>
    <w:p>
      <w:pPr>
        <w:pStyle w:val="NormalWeb"/>
        <w:spacing w:before="0" w:after="0"/>
        <w:jc w:val="both"/>
        <w:rPr>
          <w:sz w:val="20"/>
          <w:szCs w:val="20"/>
        </w:rPr>
      </w:pPr>
    </w:p>
    <w:tbl>
      <w:tblPr>
        <w:tblStyle w:val="Grilledutableau"/>
        <w:tblW w:w="15304" w:type="dxa"/>
        <w:tblLook w:val="04A0" w:firstRow="1" w:lastRow="0" w:firstColumn="1" w:lastColumn="0" w:noHBand="0" w:noVBand="1"/>
      </w:tblPr>
      <w:tblGrid>
        <w:gridCol w:w="2122"/>
        <w:gridCol w:w="2835"/>
        <w:gridCol w:w="1559"/>
        <w:gridCol w:w="2977"/>
        <w:gridCol w:w="5811"/>
      </w:tblGrid>
      <w:tr>
        <w:trPr>
          <w:trHeight w:val="1203"/>
        </w:trPr>
        <w:tc>
          <w:tcPr>
            <w:tcW w:w="2122" w:type="dxa"/>
            <w:shd w:val="clear" w:color="auto" w:fill="C2D69B" w:themeFill="accent3" w:themeFillTint="99"/>
            <w:vAlign w:val="center"/>
          </w:tcPr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Lots Gaz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Volume (GWh) et montant estimatifs annuels du lot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(€ HT)</w:t>
            </w:r>
          </w:p>
        </w:tc>
        <w:tc>
          <w:tcPr>
            <w:tcW w:w="1559" w:type="dxa"/>
            <w:shd w:val="clear" w:color="auto" w:fill="C2D69B" w:themeFill="accent3" w:themeFillTint="99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Nombre estimé de marchés subséquents</w:t>
            </w:r>
          </w:p>
        </w:tc>
        <w:tc>
          <w:tcPr>
            <w:tcW w:w="2977" w:type="dxa"/>
            <w:shd w:val="clear" w:color="auto" w:fill="C2D69B" w:themeFill="accent3" w:themeFillTint="99"/>
            <w:vAlign w:val="center"/>
          </w:tcPr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Volume (GWh) et montant estimés d’un marché subséquent (€ HT)</w:t>
            </w:r>
          </w:p>
        </w:tc>
        <w:tc>
          <w:tcPr>
            <w:tcW w:w="5811" w:type="dxa"/>
            <w:shd w:val="clear" w:color="auto" w:fill="C2D69B" w:themeFill="accent3" w:themeFillTint="99"/>
            <w:vAlign w:val="center"/>
          </w:tcPr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Déclaration du candidat</w:t>
            </w:r>
          </w:p>
          <w:p>
            <w:pPr>
              <w:spacing w:before="6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(</w:t>
            </w:r>
            <w:proofErr w:type="gramStart"/>
            <w:r>
              <w:rPr>
                <w:i/>
                <w:iCs/>
              </w:rPr>
              <w:t>cochez</w:t>
            </w:r>
            <w:proofErr w:type="gramEnd"/>
            <w:r>
              <w:rPr>
                <w:i/>
                <w:iCs/>
              </w:rPr>
              <w:t xml:space="preserve"> la case correspondant au nombre maximum de marchés auxquels vous vous engagez à soumissionner pour chacun des lots sur lequel vous candidatez*)</w:t>
            </w:r>
          </w:p>
        </w:tc>
      </w:tr>
      <w:tr>
        <w:trPr>
          <w:trHeight w:val="2763"/>
        </w:trPr>
        <w:tc>
          <w:tcPr>
            <w:tcW w:w="2122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G1 : « Gros sites Gaz »</w:t>
            </w:r>
          </w:p>
        </w:tc>
        <w:tc>
          <w:tcPr>
            <w:tcW w:w="2835" w:type="dxa"/>
            <w:vAlign w:val="center"/>
          </w:tcPr>
          <w:p>
            <w:pPr>
              <w:pStyle w:val="Paragraphedeliste"/>
              <w:numPr>
                <w:ilvl w:val="0"/>
                <w:numId w:val="22"/>
              </w:numPr>
              <w:ind w:left="318" w:hanging="261"/>
              <w:jc w:val="both"/>
            </w:pPr>
            <w:r>
              <w:t xml:space="preserve">Volume estimatif annuel du lot : </w:t>
            </w:r>
            <w:r>
              <w:rPr>
                <w:b/>
                <w:bCs/>
              </w:rPr>
              <w:t xml:space="preserve">2 800 </w:t>
            </w:r>
            <w:proofErr w:type="gramStart"/>
            <w:r>
              <w:rPr>
                <w:b/>
                <w:bCs/>
              </w:rPr>
              <w:t>GWh</w:t>
            </w:r>
            <w:proofErr w:type="gramEnd"/>
          </w:p>
          <w:p>
            <w:pPr>
              <w:pStyle w:val="Paragraphedeliste"/>
              <w:numPr>
                <w:ilvl w:val="0"/>
                <w:numId w:val="22"/>
              </w:numPr>
              <w:spacing w:before="60"/>
              <w:ind w:left="318" w:hanging="261"/>
              <w:contextualSpacing w:val="0"/>
              <w:jc w:val="both"/>
            </w:pPr>
            <w:r>
              <w:t>Montant annuel estimé du lot :</w:t>
            </w:r>
          </w:p>
          <w:p>
            <w:pPr>
              <w:pStyle w:val="Paragraphedeliste"/>
              <w:ind w:left="318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285,6 M€ HT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977" w:type="dxa"/>
            <w:vAlign w:val="center"/>
          </w:tcPr>
          <w:p>
            <w:pPr>
              <w:pStyle w:val="Paragraphedeliste"/>
              <w:numPr>
                <w:ilvl w:val="0"/>
                <w:numId w:val="23"/>
              </w:numPr>
              <w:jc w:val="both"/>
            </w:pPr>
            <w:r>
              <w:t xml:space="preserve">Volume moyen annuel estimé / marché : </w:t>
            </w:r>
            <w:r>
              <w:br/>
            </w:r>
            <w:r>
              <w:rPr>
                <w:b/>
                <w:bCs/>
              </w:rPr>
              <w:t xml:space="preserve">400 </w:t>
            </w:r>
            <w:proofErr w:type="gramStart"/>
            <w:r>
              <w:rPr>
                <w:b/>
                <w:bCs/>
              </w:rPr>
              <w:t>GWh</w:t>
            </w:r>
            <w:proofErr w:type="gramEnd"/>
          </w:p>
          <w:p>
            <w:pPr>
              <w:pStyle w:val="Paragraphedeliste"/>
              <w:numPr>
                <w:ilvl w:val="0"/>
                <w:numId w:val="21"/>
              </w:numPr>
              <w:spacing w:before="60"/>
              <w:ind w:left="324" w:hanging="284"/>
              <w:contextualSpacing w:val="0"/>
              <w:jc w:val="both"/>
            </w:pPr>
            <w:r>
              <w:t xml:space="preserve">Montant moyen annuel estimé d’un marché : </w:t>
            </w:r>
            <w:r>
              <w:br/>
            </w:r>
            <w:r>
              <w:rPr>
                <w:b/>
                <w:bCs/>
              </w:rPr>
              <w:t>40,8 M€ HT</w:t>
            </w:r>
          </w:p>
        </w:tc>
        <w:tc>
          <w:tcPr>
            <w:tcW w:w="5811" w:type="dxa"/>
            <w:vAlign w:val="center"/>
          </w:tcPr>
          <w:p>
            <w:pPr>
              <w:spacing w:before="20"/>
              <w:jc w:val="both"/>
            </w:pPr>
            <w:sdt>
              <w:sdtPr>
                <w:id w:val="-463275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Limitation à un seul marché subséquent </w:t>
            </w:r>
          </w:p>
          <w:p>
            <w:pPr>
              <w:spacing w:before="20"/>
              <w:jc w:val="both"/>
            </w:pPr>
            <w:sdt>
              <w:sdtPr>
                <w:id w:val="-11552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Limitation à deux marchés subséquents </w:t>
            </w:r>
          </w:p>
          <w:p>
            <w:pPr>
              <w:spacing w:before="20"/>
              <w:jc w:val="both"/>
            </w:pPr>
            <w:sdt>
              <w:sdtPr>
                <w:id w:val="1364708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Limitation à trois marchés subséquents</w:t>
            </w:r>
          </w:p>
          <w:p>
            <w:pPr>
              <w:spacing w:before="20"/>
              <w:jc w:val="both"/>
            </w:pPr>
            <w:sdt>
              <w:sdtPr>
                <w:id w:val="249551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Limitation à quatre marchés subséquents</w:t>
            </w:r>
          </w:p>
          <w:p>
            <w:pPr>
              <w:spacing w:before="20"/>
              <w:jc w:val="both"/>
            </w:pPr>
            <w:sdt>
              <w:sdtPr>
                <w:id w:val="961145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Limitation à cinq marchés subséquents</w:t>
            </w:r>
          </w:p>
          <w:p>
            <w:pPr>
              <w:spacing w:before="20"/>
              <w:jc w:val="both"/>
            </w:pPr>
            <w:sdt>
              <w:sdtPr>
                <w:id w:val="-1592236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Limitation à six marchés subséquents</w:t>
            </w:r>
          </w:p>
          <w:p>
            <w:pPr>
              <w:jc w:val="both"/>
            </w:pPr>
            <w:sdt>
              <w:sdtPr>
                <w:id w:val="-609357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Sans limitation (réponse à tous les marchés subséquents)</w:t>
            </w:r>
          </w:p>
        </w:tc>
      </w:tr>
    </w:tbl>
    <w:p>
      <w:pPr>
        <w:pStyle w:val="Commentaire"/>
        <w:spacing w:before="180"/>
      </w:pPr>
      <w:r>
        <w:t>* Conformément à l’article 3.3 du CCP, les candidats n’ont pas l’obligation de déposer une offre.</w:t>
      </w:r>
    </w:p>
    <w:sectPr>
      <w:pgSz w:w="16839" w:h="11907" w:orient="landscape" w:code="9"/>
      <w:pgMar w:top="851" w:right="964" w:bottom="851" w:left="709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2329812"/>
      <w:docPartObj>
        <w:docPartGallery w:val="Page Numbers (Bottom of Page)"/>
        <w:docPartUnique/>
      </w:docPartObj>
    </w:sdtPr>
    <w:sdtContent>
      <w:sdt>
        <w:sdtPr>
          <w:id w:val="1146783943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168A"/>
    <w:multiLevelType w:val="hybridMultilevel"/>
    <w:tmpl w:val="DE34FE4A"/>
    <w:lvl w:ilvl="0" w:tplc="B84CEEB2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1F497D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465C8D"/>
    <w:multiLevelType w:val="hybridMultilevel"/>
    <w:tmpl w:val="70364D7A"/>
    <w:lvl w:ilvl="0" w:tplc="C1568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7A87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C68D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5A82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EDB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E684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5A9D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74F7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8403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9B6717"/>
    <w:multiLevelType w:val="hybridMultilevel"/>
    <w:tmpl w:val="686C4D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05D90"/>
    <w:multiLevelType w:val="hybridMultilevel"/>
    <w:tmpl w:val="53AA1720"/>
    <w:lvl w:ilvl="0" w:tplc="C15684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256872"/>
    <w:multiLevelType w:val="hybridMultilevel"/>
    <w:tmpl w:val="4A0E55E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B1633"/>
    <w:multiLevelType w:val="hybridMultilevel"/>
    <w:tmpl w:val="759082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42460"/>
    <w:multiLevelType w:val="hybridMultilevel"/>
    <w:tmpl w:val="816A23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01290"/>
    <w:multiLevelType w:val="hybridMultilevel"/>
    <w:tmpl w:val="B83ED04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73C29"/>
    <w:multiLevelType w:val="hybridMultilevel"/>
    <w:tmpl w:val="46FA38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2732D"/>
    <w:multiLevelType w:val="hybridMultilevel"/>
    <w:tmpl w:val="3D404434"/>
    <w:lvl w:ilvl="0" w:tplc="EBB88290">
      <w:numFmt w:val="bullet"/>
      <w:lvlText w:val=""/>
      <w:lvlJc w:val="left"/>
      <w:pPr>
        <w:ind w:left="720" w:hanging="360"/>
      </w:pPr>
      <w:rPr>
        <w:rFonts w:ascii="Wingdings" w:eastAsia="Andale Sans UI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F2EA4"/>
    <w:multiLevelType w:val="hybridMultilevel"/>
    <w:tmpl w:val="1570CF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45DB3"/>
    <w:multiLevelType w:val="hybridMultilevel"/>
    <w:tmpl w:val="BD307F2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DD77C1"/>
    <w:multiLevelType w:val="hybridMultilevel"/>
    <w:tmpl w:val="982E87CE"/>
    <w:lvl w:ilvl="0" w:tplc="1BB8B06C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997F84"/>
    <w:multiLevelType w:val="hybridMultilevel"/>
    <w:tmpl w:val="5A4ED1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85506C"/>
    <w:multiLevelType w:val="hybridMultilevel"/>
    <w:tmpl w:val="F7D2CB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7C25DA"/>
    <w:multiLevelType w:val="hybridMultilevel"/>
    <w:tmpl w:val="299A4D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392546"/>
    <w:multiLevelType w:val="hybridMultilevel"/>
    <w:tmpl w:val="70364D7A"/>
    <w:lvl w:ilvl="0" w:tplc="C1568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7A87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C68D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5A82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EDB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E684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5A9D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74F7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8403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2538F9"/>
    <w:multiLevelType w:val="hybridMultilevel"/>
    <w:tmpl w:val="F134EA30"/>
    <w:lvl w:ilvl="0" w:tplc="59AA3298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A56659"/>
    <w:multiLevelType w:val="hybridMultilevel"/>
    <w:tmpl w:val="AC5A6F6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80C6F45"/>
    <w:multiLevelType w:val="hybridMultilevel"/>
    <w:tmpl w:val="E214C77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C5422C0"/>
    <w:multiLevelType w:val="hybridMultilevel"/>
    <w:tmpl w:val="A39046AE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FD917CB"/>
    <w:multiLevelType w:val="hybridMultilevel"/>
    <w:tmpl w:val="D234A94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8F77CC"/>
    <w:multiLevelType w:val="hybridMultilevel"/>
    <w:tmpl w:val="5CB4B7B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"/>
  </w:num>
  <w:num w:numId="4">
    <w:abstractNumId w:val="3"/>
  </w:num>
  <w:num w:numId="5">
    <w:abstractNumId w:val="21"/>
  </w:num>
  <w:num w:numId="6">
    <w:abstractNumId w:val="4"/>
  </w:num>
  <w:num w:numId="7">
    <w:abstractNumId w:val="8"/>
  </w:num>
  <w:num w:numId="8">
    <w:abstractNumId w:val="7"/>
  </w:num>
  <w:num w:numId="9">
    <w:abstractNumId w:val="12"/>
  </w:num>
  <w:num w:numId="10">
    <w:abstractNumId w:val="0"/>
  </w:num>
  <w:num w:numId="11">
    <w:abstractNumId w:val="15"/>
  </w:num>
  <w:num w:numId="12">
    <w:abstractNumId w:val="5"/>
  </w:num>
  <w:num w:numId="13">
    <w:abstractNumId w:val="22"/>
  </w:num>
  <w:num w:numId="14">
    <w:abstractNumId w:val="19"/>
  </w:num>
  <w:num w:numId="15">
    <w:abstractNumId w:val="14"/>
  </w:num>
  <w:num w:numId="16">
    <w:abstractNumId w:val="13"/>
  </w:num>
  <w:num w:numId="17">
    <w:abstractNumId w:val="9"/>
  </w:num>
  <w:num w:numId="18">
    <w:abstractNumId w:val="20"/>
  </w:num>
  <w:num w:numId="19">
    <w:abstractNumId w:val="17"/>
  </w:num>
  <w:num w:numId="20">
    <w:abstractNumId w:val="6"/>
  </w:num>
  <w:num w:numId="21">
    <w:abstractNumId w:val="10"/>
  </w:num>
  <w:num w:numId="22">
    <w:abstractNumId w:val="2"/>
  </w:num>
  <w:num w:numId="23">
    <w:abstractNumId w:val="18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AB0FD2F7-DE91-4D85-80DD-2FA4E2774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paragraph" w:customStyle="1" w:styleId="Standard">
    <w:name w:val="Standard"/>
    <w:link w:val="StandardCar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ormalWeb">
    <w:name w:val="Normal (Web)"/>
    <w:basedOn w:val="Standard"/>
    <w:uiPriority w:val="99"/>
    <w:pPr>
      <w:spacing w:before="280" w:after="280"/>
    </w:pPr>
    <w:rPr>
      <w:rFonts w:ascii="Arial Unicode MS" w:eastAsia="Arial Unicode MS" w:hAnsi="Arial Unicode MS" w:cs="Arial Unicode MS"/>
    </w:rPr>
  </w:style>
  <w:style w:type="character" w:customStyle="1" w:styleId="StandardCar">
    <w:name w:val="Standard Car"/>
    <w:link w:val="Standard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rFonts w:ascii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customStyle="1" w:styleId="western">
    <w:name w:val="western"/>
    <w:basedOn w:val="Normal"/>
    <w:pPr>
      <w:ind w:left="567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autoRedefine/>
    <w:pPr>
      <w:keepLines/>
      <w:widowControl w:val="0"/>
      <w:spacing w:before="60" w:after="60"/>
      <w:ind w:left="709"/>
      <w:jc w:val="both"/>
      <w:textAlignment w:val="center"/>
    </w:pPr>
    <w:rPr>
      <w:rFonts w:ascii="Arial" w:eastAsia="Andale Sans UI" w:hAnsi="Arial" w:cs="Tahoma"/>
      <w:kern w:val="2"/>
      <w:sz w:val="18"/>
      <w:szCs w:val="18"/>
      <w:lang w:eastAsia="zh-CN" w:bidi="fa-IR"/>
    </w:rPr>
  </w:style>
  <w:style w:type="character" w:customStyle="1" w:styleId="CorpsdetexteCar">
    <w:name w:val="Corps de texte Car"/>
    <w:basedOn w:val="Policepardfaut"/>
    <w:link w:val="Corpsdetexte"/>
    <w:rPr>
      <w:rFonts w:ascii="Arial" w:eastAsia="Andale Sans UI" w:hAnsi="Arial" w:cs="Tahoma"/>
      <w:kern w:val="2"/>
      <w:sz w:val="18"/>
      <w:szCs w:val="18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3.png@01DC37A7.0664D5D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A2339-7BAF-4BE4-A957-57CE7C8B8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608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SOLER Patrick</dc:creator>
  <cp:lastModifiedBy>VIOLAS Valerie</cp:lastModifiedBy>
  <cp:revision>21</cp:revision>
  <cp:lastPrinted>2015-02-06T18:15:00Z</cp:lastPrinted>
  <dcterms:created xsi:type="dcterms:W3CDTF">2025-07-24T14:51:00Z</dcterms:created>
  <dcterms:modified xsi:type="dcterms:W3CDTF">2025-10-09T14:18:00Z</dcterms:modified>
</cp:coreProperties>
</file>